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3D47F9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BC74B3">
        <w:rPr>
          <w:sz w:val="28"/>
          <w:szCs w:val="28"/>
          <w:u w:val="single"/>
        </w:rPr>
        <w:t>0</w:t>
      </w:r>
      <w:r w:rsidR="00444C1D">
        <w:rPr>
          <w:sz w:val="28"/>
          <w:szCs w:val="28"/>
          <w:u w:val="single"/>
        </w:rPr>
        <w:t>2</w:t>
      </w:r>
      <w:r w:rsidR="00BC74B3">
        <w:rPr>
          <w:sz w:val="28"/>
          <w:szCs w:val="28"/>
          <w:u w:val="single"/>
        </w:rPr>
        <w:t xml:space="preserve"> июня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A140AD">
        <w:rPr>
          <w:sz w:val="28"/>
          <w:szCs w:val="28"/>
          <w:u w:val="single"/>
        </w:rPr>
        <w:t>1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BC74B3">
        <w:rPr>
          <w:sz w:val="28"/>
          <w:szCs w:val="28"/>
          <w:u w:val="single"/>
        </w:rPr>
        <w:t>3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BC74B3">
        <w:rPr>
          <w:b/>
          <w:sz w:val="28"/>
          <w:szCs w:val="28"/>
        </w:rPr>
        <w:t>21 мая 2021 года</w:t>
      </w:r>
    </w:p>
    <w:p w:rsidR="003C6C9D" w:rsidRPr="00BC74B3" w:rsidRDefault="00CC23FF" w:rsidP="003C6C9D">
      <w:pPr>
        <w:jc w:val="center"/>
        <w:rPr>
          <w:b/>
        </w:rPr>
      </w:pPr>
      <w:r w:rsidRPr="00A140AD">
        <w:rPr>
          <w:b/>
          <w:sz w:val="28"/>
          <w:szCs w:val="28"/>
        </w:rPr>
        <w:t>«</w:t>
      </w:r>
      <w:r w:rsidR="00D67FA6" w:rsidRPr="00D67FA6">
        <w:rPr>
          <w:b/>
          <w:sz w:val="28"/>
          <w:szCs w:val="28"/>
        </w:rPr>
        <w:t xml:space="preserve"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</w:t>
      </w:r>
      <w:r w:rsidR="00BC74B3" w:rsidRPr="00BC74B3">
        <w:rPr>
          <w:b/>
          <w:sz w:val="28"/>
          <w:szCs w:val="28"/>
        </w:rPr>
        <w:t>МБУ  «Национально-культурный центр «</w:t>
      </w:r>
      <w:proofErr w:type="spellStart"/>
      <w:r w:rsidR="00BC74B3" w:rsidRPr="00BC74B3">
        <w:rPr>
          <w:b/>
          <w:sz w:val="28"/>
          <w:szCs w:val="28"/>
        </w:rPr>
        <w:t>Элмэт</w:t>
      </w:r>
      <w:proofErr w:type="spellEnd"/>
      <w:r w:rsidR="00BC74B3" w:rsidRPr="00BC74B3">
        <w:rPr>
          <w:b/>
          <w:sz w:val="28"/>
          <w:szCs w:val="28"/>
        </w:rPr>
        <w:t xml:space="preserve">» Альметьевского муниципального района Республики Татарстан» за 2019-2020 </w:t>
      </w:r>
      <w:proofErr w:type="spellStart"/>
      <w:r w:rsidR="00BC74B3" w:rsidRPr="00BC74B3">
        <w:rPr>
          <w:b/>
          <w:sz w:val="28"/>
          <w:szCs w:val="28"/>
        </w:rPr>
        <w:t>г.г</w:t>
      </w:r>
      <w:proofErr w:type="spellEnd"/>
      <w:r w:rsidR="00BC74B3" w:rsidRPr="00BC74B3">
        <w:rPr>
          <w:b/>
          <w:sz w:val="28"/>
          <w:szCs w:val="28"/>
        </w:rPr>
        <w:t>. и текущий период 2021г</w:t>
      </w:r>
      <w:r w:rsidR="00BC74B3">
        <w:rPr>
          <w:b/>
          <w:sz w:val="28"/>
          <w:szCs w:val="28"/>
        </w:rPr>
        <w:t>.</w:t>
      </w:r>
      <w:r w:rsidRPr="00BC74B3">
        <w:rPr>
          <w:b/>
          <w:sz w:val="28"/>
          <w:szCs w:val="28"/>
        </w:rPr>
        <w:t>»</w:t>
      </w:r>
      <w:r w:rsidRPr="00BC74B3">
        <w:rPr>
          <w:b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BC74B3" w:rsidRDefault="003C6C9D" w:rsidP="001537A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t xml:space="preserve"> </w:t>
      </w:r>
      <w:proofErr w:type="gramStart"/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BC74B3">
        <w:rPr>
          <w:color w:val="000000"/>
          <w:sz w:val="28"/>
          <w:szCs w:val="28"/>
        </w:rPr>
        <w:t>2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D67FA6">
        <w:rPr>
          <w:color w:val="000000"/>
          <w:sz w:val="28"/>
          <w:szCs w:val="28"/>
        </w:rPr>
        <w:t>1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</w:t>
      </w:r>
      <w:r w:rsidR="00BC74B3">
        <w:rPr>
          <w:sz w:val="28"/>
          <w:szCs w:val="28"/>
        </w:rPr>
        <w:t xml:space="preserve"> </w:t>
      </w:r>
      <w:r w:rsidR="00BC74B3" w:rsidRPr="00BC74B3">
        <w:rPr>
          <w:rFonts w:ascii="Times New Roman CYR" w:hAnsi="Times New Roman CYR" w:cs="Times New Roman CYR"/>
          <w:sz w:val="28"/>
          <w:szCs w:val="28"/>
        </w:rPr>
        <w:t>09 марта 2021 г.</w:t>
      </w:r>
      <w:r w:rsidR="00BC74B3" w:rsidRPr="00BC74B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BC74B3" w:rsidRPr="00BC74B3">
        <w:rPr>
          <w:rFonts w:ascii="Times New Roman CYR" w:hAnsi="Times New Roman CYR" w:cs="Times New Roman CYR"/>
          <w:sz w:val="28"/>
          <w:szCs w:val="28"/>
        </w:rPr>
        <w:t>№ 04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BC74B3">
        <w:rPr>
          <w:sz w:val="28"/>
          <w:szCs w:val="28"/>
        </w:rPr>
        <w:t>«</w:t>
      </w:r>
      <w:r w:rsidR="00BC74B3" w:rsidRPr="00BC74B3">
        <w:rPr>
          <w:sz w:val="28"/>
          <w:szCs w:val="28"/>
        </w:rPr>
        <w:t>Проверка эффективности использования муниципального имущества и расходования бюджетных и внебюджетных средств, качества</w:t>
      </w:r>
      <w:r w:rsidR="00BC74B3">
        <w:rPr>
          <w:sz w:val="28"/>
          <w:szCs w:val="28"/>
        </w:rPr>
        <w:t xml:space="preserve"> оказания муниципальных услуг в </w:t>
      </w:r>
      <w:r w:rsidR="00BC74B3" w:rsidRPr="00BC74B3">
        <w:rPr>
          <w:sz w:val="28"/>
          <w:szCs w:val="28"/>
        </w:rPr>
        <w:t>МБУ</w:t>
      </w:r>
      <w:r w:rsidR="00BC74B3">
        <w:rPr>
          <w:sz w:val="28"/>
          <w:szCs w:val="28"/>
        </w:rPr>
        <w:t xml:space="preserve"> </w:t>
      </w:r>
      <w:r w:rsidR="00BC74B3" w:rsidRPr="00BC74B3">
        <w:rPr>
          <w:sz w:val="28"/>
          <w:szCs w:val="28"/>
        </w:rPr>
        <w:t>«Национально-культурный центр «</w:t>
      </w:r>
      <w:proofErr w:type="spellStart"/>
      <w:r w:rsidR="00BC74B3" w:rsidRPr="00BC74B3">
        <w:rPr>
          <w:sz w:val="28"/>
          <w:szCs w:val="28"/>
        </w:rPr>
        <w:t>Элмэт</w:t>
      </w:r>
      <w:proofErr w:type="spellEnd"/>
      <w:r w:rsidR="00BC74B3" w:rsidRPr="00BC74B3">
        <w:rPr>
          <w:sz w:val="28"/>
          <w:szCs w:val="28"/>
        </w:rPr>
        <w:t xml:space="preserve">» Альметьевского муниципального района Республики Татарстан» за 2019-2020 </w:t>
      </w:r>
      <w:proofErr w:type="spellStart"/>
      <w:r w:rsidR="00BC74B3" w:rsidRPr="00BC74B3">
        <w:rPr>
          <w:sz w:val="28"/>
          <w:szCs w:val="28"/>
        </w:rPr>
        <w:t>г.г</w:t>
      </w:r>
      <w:proofErr w:type="spellEnd"/>
      <w:proofErr w:type="gramEnd"/>
      <w:r w:rsidR="00BC74B3" w:rsidRPr="00BC74B3">
        <w:rPr>
          <w:sz w:val="28"/>
          <w:szCs w:val="28"/>
        </w:rPr>
        <w:t>. и текущий период 2021г.</w:t>
      </w:r>
      <w:r w:rsidR="005E4AAB" w:rsidRPr="00BC74B3">
        <w:rPr>
          <w:sz w:val="28"/>
          <w:szCs w:val="28"/>
        </w:rPr>
        <w:t>»</w:t>
      </w:r>
      <w:r w:rsidRPr="00BC74B3">
        <w:rPr>
          <w:sz w:val="28"/>
          <w:szCs w:val="28"/>
        </w:rPr>
        <w:t>.</w:t>
      </w:r>
    </w:p>
    <w:p w:rsidR="0065129A" w:rsidRPr="00A93A03" w:rsidRDefault="00017038" w:rsidP="001537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BC74B3">
        <w:rPr>
          <w:sz w:val="28"/>
          <w:szCs w:val="28"/>
        </w:rPr>
        <w:t>бюджетному</w:t>
      </w:r>
      <w:r w:rsidR="00D67FA6">
        <w:rPr>
          <w:sz w:val="28"/>
          <w:szCs w:val="28"/>
        </w:rPr>
        <w:t xml:space="preserve">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>
        <w:rPr>
          <w:sz w:val="28"/>
          <w:szCs w:val="28"/>
        </w:rPr>
        <w:t>; правомерности и эффективного использования средств местного бюджета при осуществлении закупок в муниципальных нуждах.</w:t>
      </w:r>
    </w:p>
    <w:p w:rsidR="0065129A" w:rsidRDefault="0065129A" w:rsidP="001537AC">
      <w:pPr>
        <w:pStyle w:val="a6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EC60A8" w:rsidRDefault="00EC60A8" w:rsidP="001537AC">
      <w:pPr>
        <w:pStyle w:val="a6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Неэффективное использование средств местного бюджета</w:t>
      </w:r>
      <w:r w:rsidR="00FA4D79">
        <w:rPr>
          <w:b/>
          <w:sz w:val="28"/>
          <w:szCs w:val="28"/>
        </w:rPr>
        <w:t xml:space="preserve"> в сумме </w:t>
      </w:r>
      <w:r w:rsidR="00B54BF5">
        <w:rPr>
          <w:b/>
          <w:sz w:val="28"/>
          <w:szCs w:val="28"/>
        </w:rPr>
        <w:t xml:space="preserve">6160,0 </w:t>
      </w:r>
      <w:proofErr w:type="spellStart"/>
      <w:r w:rsidR="00FA4D79">
        <w:rPr>
          <w:b/>
          <w:sz w:val="28"/>
          <w:szCs w:val="28"/>
        </w:rPr>
        <w:t>тыс</w:t>
      </w:r>
      <w:proofErr w:type="gramStart"/>
      <w:r w:rsidR="00FA4D79">
        <w:rPr>
          <w:b/>
          <w:sz w:val="28"/>
          <w:szCs w:val="28"/>
        </w:rPr>
        <w:t>.р</w:t>
      </w:r>
      <w:proofErr w:type="gramEnd"/>
      <w:r w:rsidR="00FA4D79">
        <w:rPr>
          <w:b/>
          <w:sz w:val="28"/>
          <w:szCs w:val="28"/>
        </w:rPr>
        <w:t>уб</w:t>
      </w:r>
      <w:proofErr w:type="spellEnd"/>
      <w:r w:rsidR="00FA4D79">
        <w:rPr>
          <w:b/>
          <w:sz w:val="28"/>
          <w:szCs w:val="28"/>
        </w:rPr>
        <w:t xml:space="preserve">., в том числе: 2019 год – </w:t>
      </w:r>
      <w:r w:rsidR="00366227">
        <w:rPr>
          <w:b/>
          <w:sz w:val="28"/>
          <w:szCs w:val="28"/>
        </w:rPr>
        <w:t xml:space="preserve">2400,0 </w:t>
      </w:r>
      <w:proofErr w:type="spellStart"/>
      <w:r w:rsidR="00FA4D79">
        <w:rPr>
          <w:b/>
          <w:sz w:val="28"/>
          <w:szCs w:val="28"/>
        </w:rPr>
        <w:t>тыс.руб</w:t>
      </w:r>
      <w:proofErr w:type="spellEnd"/>
      <w:r w:rsidR="00FA4D79">
        <w:rPr>
          <w:b/>
          <w:sz w:val="28"/>
          <w:szCs w:val="28"/>
        </w:rPr>
        <w:t xml:space="preserve">., 2020 год – </w:t>
      </w:r>
      <w:r w:rsidR="00366227">
        <w:rPr>
          <w:b/>
          <w:sz w:val="28"/>
          <w:szCs w:val="28"/>
        </w:rPr>
        <w:t xml:space="preserve">3760,0 </w:t>
      </w:r>
      <w:proofErr w:type="spellStart"/>
      <w:r w:rsidR="00FA4D79">
        <w:rPr>
          <w:b/>
          <w:sz w:val="28"/>
          <w:szCs w:val="28"/>
        </w:rPr>
        <w:t>тыс.руб</w:t>
      </w:r>
      <w:proofErr w:type="spellEnd"/>
      <w:r w:rsidR="00FA4D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:</w:t>
      </w:r>
    </w:p>
    <w:p w:rsidR="00FA4D79" w:rsidRPr="00366227" w:rsidRDefault="00EC60A8" w:rsidP="001537AC">
      <w:pPr>
        <w:pStyle w:val="a6"/>
        <w:ind w:left="0" w:right="-1" w:firstLine="709"/>
        <w:jc w:val="both"/>
        <w:rPr>
          <w:sz w:val="28"/>
          <w:szCs w:val="28"/>
        </w:rPr>
      </w:pPr>
      <w:r w:rsidRPr="00366227">
        <w:rPr>
          <w:sz w:val="28"/>
          <w:szCs w:val="28"/>
        </w:rPr>
        <w:t xml:space="preserve">- </w:t>
      </w:r>
      <w:r w:rsidR="00207778" w:rsidRPr="00844B0D">
        <w:rPr>
          <w:sz w:val="28"/>
          <w:szCs w:val="28"/>
        </w:rPr>
        <w:t>в</w:t>
      </w:r>
      <w:r w:rsidR="0036422B" w:rsidRPr="00844B0D">
        <w:rPr>
          <w:sz w:val="28"/>
          <w:szCs w:val="28"/>
        </w:rPr>
        <w:t>едение бухгалтерского учета, формирование финансовой (бюджетной) отчетности, ведение экономической работы МБУ «НКЦ «</w:t>
      </w:r>
      <w:proofErr w:type="spellStart"/>
      <w:r w:rsidR="0036422B" w:rsidRPr="00844B0D">
        <w:rPr>
          <w:sz w:val="28"/>
          <w:szCs w:val="28"/>
        </w:rPr>
        <w:t>Элмэт</w:t>
      </w:r>
      <w:proofErr w:type="spellEnd"/>
      <w:r w:rsidR="0036422B" w:rsidRPr="00844B0D">
        <w:rPr>
          <w:sz w:val="28"/>
          <w:szCs w:val="28"/>
        </w:rPr>
        <w:t>» осуществляет самостоятельно, тогда как, все муниципальные бюджетные учреждения культуры данные</w:t>
      </w:r>
      <w:r w:rsidR="0036422B" w:rsidRPr="00366227">
        <w:rPr>
          <w:sz w:val="28"/>
          <w:szCs w:val="28"/>
        </w:rPr>
        <w:t xml:space="preserve"> функции передали по соглашению  МБУ «Централизованная бухгалтерия Управления культуры Альметьевского муниципального района». </w:t>
      </w:r>
      <w:proofErr w:type="gramStart"/>
      <w:r w:rsidR="00207778" w:rsidRPr="00366227">
        <w:rPr>
          <w:sz w:val="28"/>
          <w:szCs w:val="28"/>
        </w:rPr>
        <w:t xml:space="preserve">В Учреждении создана хозяйственно-эксплуатационная служба (ХЭС) в количестве 13 единиц в 2019 году, 12 единиц </w:t>
      </w:r>
      <w:r w:rsidR="00366227">
        <w:rPr>
          <w:sz w:val="28"/>
          <w:szCs w:val="28"/>
        </w:rPr>
        <w:t xml:space="preserve">(вакансия 5,5 ед.) </w:t>
      </w:r>
      <w:r w:rsidR="00207778" w:rsidRPr="00366227">
        <w:rPr>
          <w:sz w:val="28"/>
          <w:szCs w:val="28"/>
        </w:rPr>
        <w:t xml:space="preserve">в 2020 году, в том числе: ведущий бухгалтер – 2 ед., экономист – 1 ед., специалист по закупкам – 1 ед., кассир – 1 ед., системный администратор – 1 ед., инженер по </w:t>
      </w:r>
      <w:r w:rsidR="00207778" w:rsidRPr="00366227">
        <w:rPr>
          <w:sz w:val="28"/>
          <w:szCs w:val="28"/>
        </w:rPr>
        <w:lastRenderedPageBreak/>
        <w:t>ТБ – 1 ед., ведущий менеджер по персоналу – 1 ед., вахтер</w:t>
      </w:r>
      <w:r w:rsidR="00FA4D79" w:rsidRPr="00366227">
        <w:rPr>
          <w:sz w:val="28"/>
          <w:szCs w:val="28"/>
        </w:rPr>
        <w:t xml:space="preserve"> – 1ед., уборщик служебных помещений – 1</w:t>
      </w:r>
      <w:proofErr w:type="gramEnd"/>
      <w:r w:rsidR="00FA4D79" w:rsidRPr="00366227">
        <w:rPr>
          <w:sz w:val="28"/>
          <w:szCs w:val="28"/>
        </w:rPr>
        <w:t xml:space="preserve"> ед.</w:t>
      </w:r>
    </w:p>
    <w:p w:rsidR="00EC60A8" w:rsidRPr="00366227" w:rsidRDefault="00FA4D79" w:rsidP="001537AC">
      <w:pPr>
        <w:pStyle w:val="a6"/>
        <w:ind w:left="0" w:right="-1" w:firstLine="709"/>
        <w:jc w:val="both"/>
        <w:rPr>
          <w:sz w:val="28"/>
          <w:szCs w:val="28"/>
        </w:rPr>
      </w:pPr>
      <w:r w:rsidRPr="00366227">
        <w:rPr>
          <w:sz w:val="28"/>
          <w:szCs w:val="28"/>
        </w:rPr>
        <w:t xml:space="preserve">Содержание </w:t>
      </w:r>
      <w:r w:rsidR="00366227" w:rsidRPr="00366227">
        <w:rPr>
          <w:sz w:val="28"/>
          <w:szCs w:val="28"/>
        </w:rPr>
        <w:t xml:space="preserve">за счет средств бюджета </w:t>
      </w:r>
      <w:r w:rsidRPr="00366227">
        <w:rPr>
          <w:sz w:val="28"/>
          <w:szCs w:val="28"/>
        </w:rPr>
        <w:t>штатных единиц</w:t>
      </w:r>
      <w:r w:rsidR="0036422B" w:rsidRPr="00366227">
        <w:rPr>
          <w:sz w:val="28"/>
          <w:szCs w:val="28"/>
        </w:rPr>
        <w:t xml:space="preserve"> специалиста по закупкам</w:t>
      </w:r>
      <w:r w:rsidRPr="00366227">
        <w:rPr>
          <w:sz w:val="28"/>
          <w:szCs w:val="28"/>
        </w:rPr>
        <w:t xml:space="preserve"> (1), юрисконсульта (1) при наличии </w:t>
      </w:r>
      <w:r w:rsidR="0036422B" w:rsidRPr="00366227">
        <w:rPr>
          <w:sz w:val="28"/>
          <w:szCs w:val="28"/>
        </w:rPr>
        <w:t xml:space="preserve">10-12 контрактов на сумму порядка 300,0 </w:t>
      </w:r>
      <w:proofErr w:type="spellStart"/>
      <w:r w:rsidR="0036422B" w:rsidRPr="00366227">
        <w:rPr>
          <w:sz w:val="28"/>
          <w:szCs w:val="28"/>
        </w:rPr>
        <w:t>тыс</w:t>
      </w:r>
      <w:proofErr w:type="gramStart"/>
      <w:r w:rsidR="0036422B" w:rsidRPr="00366227">
        <w:rPr>
          <w:sz w:val="28"/>
          <w:szCs w:val="28"/>
        </w:rPr>
        <w:t>.р</w:t>
      </w:r>
      <w:proofErr w:type="gramEnd"/>
      <w:r w:rsidR="0036422B" w:rsidRPr="00366227">
        <w:rPr>
          <w:sz w:val="28"/>
          <w:szCs w:val="28"/>
        </w:rPr>
        <w:t>уб</w:t>
      </w:r>
      <w:proofErr w:type="spellEnd"/>
      <w:r w:rsidRPr="00366227">
        <w:rPr>
          <w:sz w:val="28"/>
          <w:szCs w:val="28"/>
        </w:rPr>
        <w:t xml:space="preserve">. и </w:t>
      </w:r>
      <w:r w:rsidR="00207778" w:rsidRPr="00366227">
        <w:rPr>
          <w:sz w:val="28"/>
          <w:szCs w:val="28"/>
        </w:rPr>
        <w:t>кассира</w:t>
      </w:r>
      <w:r w:rsidRPr="00366227">
        <w:rPr>
          <w:sz w:val="28"/>
          <w:szCs w:val="28"/>
        </w:rPr>
        <w:t xml:space="preserve"> (1) при </w:t>
      </w:r>
      <w:r w:rsidR="00366227" w:rsidRPr="00366227">
        <w:rPr>
          <w:sz w:val="28"/>
          <w:szCs w:val="28"/>
        </w:rPr>
        <w:t>работе с</w:t>
      </w:r>
      <w:r w:rsidRPr="00366227">
        <w:rPr>
          <w:sz w:val="28"/>
          <w:szCs w:val="28"/>
        </w:rPr>
        <w:t xml:space="preserve"> выручк</w:t>
      </w:r>
      <w:r w:rsidR="00366227" w:rsidRPr="00366227">
        <w:rPr>
          <w:sz w:val="28"/>
          <w:szCs w:val="28"/>
        </w:rPr>
        <w:t>ой от</w:t>
      </w:r>
      <w:r w:rsidRPr="00366227">
        <w:rPr>
          <w:sz w:val="28"/>
          <w:szCs w:val="28"/>
        </w:rPr>
        <w:t xml:space="preserve">  платных услуг</w:t>
      </w:r>
      <w:r w:rsidR="00366227" w:rsidRPr="00366227">
        <w:rPr>
          <w:sz w:val="28"/>
          <w:szCs w:val="28"/>
        </w:rPr>
        <w:t xml:space="preserve"> является </w:t>
      </w:r>
      <w:r w:rsidRPr="00366227">
        <w:rPr>
          <w:sz w:val="28"/>
          <w:szCs w:val="28"/>
        </w:rPr>
        <w:t>экономически не целесообразн</w:t>
      </w:r>
      <w:r w:rsidR="00366227" w:rsidRPr="00366227">
        <w:rPr>
          <w:sz w:val="28"/>
          <w:szCs w:val="28"/>
        </w:rPr>
        <w:t xml:space="preserve">ым. На выплату заработной платы и страховых взносов бухгалтерской (в том числе главбух) и экономической службы израсходовано: в 2019 году – </w:t>
      </w:r>
      <w:r w:rsidR="00366227">
        <w:rPr>
          <w:sz w:val="28"/>
          <w:szCs w:val="28"/>
        </w:rPr>
        <w:t xml:space="preserve">около </w:t>
      </w:r>
      <w:r w:rsidR="00366227" w:rsidRPr="00366227">
        <w:rPr>
          <w:sz w:val="28"/>
          <w:szCs w:val="28"/>
        </w:rPr>
        <w:t xml:space="preserve">2400 </w:t>
      </w:r>
      <w:proofErr w:type="spellStart"/>
      <w:r w:rsidR="00366227" w:rsidRPr="00366227">
        <w:rPr>
          <w:sz w:val="28"/>
          <w:szCs w:val="28"/>
        </w:rPr>
        <w:t>тыс</w:t>
      </w:r>
      <w:proofErr w:type="gramStart"/>
      <w:r w:rsidR="00366227" w:rsidRPr="00366227">
        <w:rPr>
          <w:sz w:val="28"/>
          <w:szCs w:val="28"/>
        </w:rPr>
        <w:t>.р</w:t>
      </w:r>
      <w:proofErr w:type="gramEnd"/>
      <w:r w:rsidR="00366227" w:rsidRPr="00366227">
        <w:rPr>
          <w:sz w:val="28"/>
          <w:szCs w:val="28"/>
        </w:rPr>
        <w:t>уб</w:t>
      </w:r>
      <w:proofErr w:type="spellEnd"/>
      <w:r w:rsidR="00366227" w:rsidRPr="00366227">
        <w:rPr>
          <w:sz w:val="28"/>
          <w:szCs w:val="28"/>
        </w:rPr>
        <w:t xml:space="preserve">., в 2020 году – 3760 </w:t>
      </w:r>
      <w:proofErr w:type="spellStart"/>
      <w:r w:rsidR="00366227" w:rsidRPr="00366227">
        <w:rPr>
          <w:sz w:val="28"/>
          <w:szCs w:val="28"/>
        </w:rPr>
        <w:t>тыс.руб</w:t>
      </w:r>
      <w:proofErr w:type="spellEnd"/>
      <w:r w:rsidR="00366227" w:rsidRPr="00366227">
        <w:rPr>
          <w:sz w:val="28"/>
          <w:szCs w:val="28"/>
        </w:rPr>
        <w:t>.</w:t>
      </w:r>
    </w:p>
    <w:p w:rsidR="00BC74B3" w:rsidRPr="00844B0D" w:rsidRDefault="00BC74B3" w:rsidP="00BC74B3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r w:rsidRPr="00844B0D">
        <w:rPr>
          <w:sz w:val="28"/>
          <w:szCs w:val="28"/>
        </w:rPr>
        <w:t>В нарушение требований Положения о формировании муниципального задания на оказание муниципальных услуг (выполнение работ), утвержденного Постановлением Исполкома АМР от 08.08.2019 № 1444, Учреждением:</w:t>
      </w:r>
    </w:p>
    <w:p w:rsidR="00BC74B3" w:rsidRDefault="00BC74B3" w:rsidP="00EC60A8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844B0D">
        <w:rPr>
          <w:sz w:val="28"/>
          <w:szCs w:val="28"/>
        </w:rPr>
        <w:t>-  за счет субсидии  на финансовое обеспечение выполнения муниципального задания на оказание муниципальных услуг осуществлялось содержание кукольного театра «Радужка» (2019 год), вокально-инструментального ансамбля «</w:t>
      </w:r>
      <w:proofErr w:type="spellStart"/>
      <w:r w:rsidRPr="00844B0D">
        <w:rPr>
          <w:sz w:val="28"/>
          <w:szCs w:val="28"/>
        </w:rPr>
        <w:t>Яшьлек</w:t>
      </w:r>
      <w:proofErr w:type="spellEnd"/>
      <w:r w:rsidRPr="00844B0D">
        <w:rPr>
          <w:sz w:val="28"/>
          <w:szCs w:val="28"/>
        </w:rPr>
        <w:t xml:space="preserve">» (2019 год), вокально-инструментального ансамбля «Ретро» (2019 год), творческого отдела, </w:t>
      </w:r>
      <w:proofErr w:type="spellStart"/>
      <w:r w:rsidRPr="00844B0D">
        <w:rPr>
          <w:sz w:val="28"/>
          <w:szCs w:val="28"/>
        </w:rPr>
        <w:t>звукотехнического</w:t>
      </w:r>
      <w:proofErr w:type="spellEnd"/>
      <w:r w:rsidRPr="00844B0D">
        <w:rPr>
          <w:sz w:val="28"/>
          <w:szCs w:val="28"/>
        </w:rPr>
        <w:t xml:space="preserve"> отдела, отдела по проведению городских мероприятий (с августа 2020 года), занимавшихся в течение проверяемого периода предоставлением концертных, театральных программ, организацией и проведением культурно-массовых мероприятий.</w:t>
      </w:r>
      <w:proofErr w:type="gramEnd"/>
      <w:r w:rsidRPr="00844B0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содержание (выплату заработной платы и страховых взносов) данных структурных подразделений израсходовано средств местного бюджета в общей сумме 16 403,5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в том числе: в 2019 году – 8109,2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в 2020 году – 8294,3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BC74B3" w:rsidRPr="009D59C5" w:rsidRDefault="00BC74B3" w:rsidP="00EC60A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при формировании качественных показателей муниципального задания в 2019 году не учтены показатели оценки качества услуг, утвержденные приказом Минкультуры РТ от 10.07.2015 . № 732д;</w:t>
      </w:r>
    </w:p>
    <w:p w:rsidR="00BC74B3" w:rsidRDefault="00BC74B3" w:rsidP="00EC60A8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</w:t>
      </w:r>
      <w:r w:rsidRPr="00BC74B3">
        <w:rPr>
          <w:sz w:val="28"/>
          <w:szCs w:val="28"/>
        </w:rPr>
        <w:t>п</w:t>
      </w:r>
      <w:r>
        <w:rPr>
          <w:sz w:val="28"/>
          <w:szCs w:val="28"/>
        </w:rPr>
        <w:t>роверке не представлены первичные финансовые документы, подтверждающие выполнение количественных (объемных) показателей выполнения муниципального задания за 2019 год, 2020 год в части муниципальных работ (услуг): по всем видам концертных программ «количество выступлений», «число зрителей», «новый репертуар концерт камерного оркестра, концерт оркестра (большие составы)», действующие утвержденные репертуары кукольного театра «Радужка», оркестров и ансамблей;</w:t>
      </w:r>
      <w:proofErr w:type="gramEnd"/>
    </w:p>
    <w:p w:rsidR="00BC74B3" w:rsidRDefault="00BC74B3" w:rsidP="00EC60A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C74B3">
        <w:rPr>
          <w:sz w:val="28"/>
          <w:szCs w:val="28"/>
        </w:rPr>
        <w:t>п</w:t>
      </w:r>
      <w:r>
        <w:rPr>
          <w:sz w:val="28"/>
          <w:szCs w:val="28"/>
        </w:rPr>
        <w:t xml:space="preserve">редоставление субсидии Учреждению не во всех случаях своевременно оформлено соглашениями:  в 2019 году субсидия на исполнение муниципального задания в сумме 3 711,8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субсидия на иные цели в сумме 259,3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 в 2020 году субсидия на исполнение муниципального задания в сумме 3 318,9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BC74B3" w:rsidRDefault="00BC74B3" w:rsidP="00EC60A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- с</w:t>
      </w:r>
      <w:r>
        <w:rPr>
          <w:sz w:val="28"/>
          <w:szCs w:val="28"/>
        </w:rPr>
        <w:t>убсидии на финансовое обеспечение выполнения муниципального задания на оказание муниципальных услуг предоставлялись Учреждению на основании фактических расходов, без учета нормативных затрат;</w:t>
      </w:r>
    </w:p>
    <w:p w:rsidR="00BC74B3" w:rsidRDefault="00BC74B3" w:rsidP="00EC60A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 д</w:t>
      </w:r>
      <w:r w:rsidRPr="00A606E7">
        <w:rPr>
          <w:sz w:val="28"/>
          <w:szCs w:val="28"/>
        </w:rPr>
        <w:t xml:space="preserve">опущено направление средств бюджета  района на оплату расходов в целях не соответствующих целям, определенным Соглашениями </w:t>
      </w:r>
      <w:r>
        <w:rPr>
          <w:sz w:val="28"/>
          <w:szCs w:val="28"/>
        </w:rPr>
        <w:t>от 09</w:t>
      </w:r>
      <w:r w:rsidRPr="00A606E7">
        <w:rPr>
          <w:sz w:val="28"/>
          <w:szCs w:val="28"/>
        </w:rPr>
        <w:t xml:space="preserve"> января 2019 г. № </w:t>
      </w:r>
      <w:r>
        <w:rPr>
          <w:sz w:val="28"/>
          <w:szCs w:val="28"/>
        </w:rPr>
        <w:t>2, от 09</w:t>
      </w:r>
      <w:r w:rsidRPr="00A606E7">
        <w:rPr>
          <w:sz w:val="28"/>
          <w:szCs w:val="28"/>
        </w:rPr>
        <w:t xml:space="preserve"> января 2020 г. № </w:t>
      </w:r>
      <w:r>
        <w:rPr>
          <w:sz w:val="28"/>
          <w:szCs w:val="28"/>
        </w:rPr>
        <w:t>15 и муниципальными заданиями на 2019, 2020 годы</w:t>
      </w:r>
      <w:r w:rsidRPr="00A606E7">
        <w:rPr>
          <w:sz w:val="28"/>
          <w:szCs w:val="28"/>
        </w:rPr>
        <w:t xml:space="preserve">, а именно, на оплату расходов </w:t>
      </w:r>
      <w:r>
        <w:rPr>
          <w:sz w:val="28"/>
          <w:szCs w:val="28"/>
        </w:rPr>
        <w:t xml:space="preserve">по оплате труда артистов хора (2 ед.) в 2019 году в сумме 699,0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в 2020 году в сумме 413,4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при отсутствии в Учреждении клубного формирования «Хор»;</w:t>
      </w:r>
    </w:p>
    <w:p w:rsidR="00BC74B3" w:rsidRDefault="00BC74B3" w:rsidP="00EC60A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C74B3">
        <w:rPr>
          <w:sz w:val="28"/>
          <w:szCs w:val="28"/>
        </w:rPr>
        <w:t>в</w:t>
      </w:r>
      <w:r w:rsidRPr="007D7A23">
        <w:rPr>
          <w:sz w:val="28"/>
          <w:szCs w:val="28"/>
        </w:rPr>
        <w:t xml:space="preserve">ыявлена </w:t>
      </w:r>
      <w:r>
        <w:rPr>
          <w:sz w:val="28"/>
          <w:szCs w:val="28"/>
        </w:rPr>
        <w:t xml:space="preserve">переплата заработной платы в 2019 году 17-ти сотрудникам, из-за необоснованных выплат за вредность работы в размере 4% к должностному окладу в общей сумме 10,7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BC74B3" w:rsidRPr="00B37AFA" w:rsidRDefault="00BC74B3" w:rsidP="00EC60A8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37AFA">
        <w:rPr>
          <w:sz w:val="28"/>
          <w:szCs w:val="28"/>
        </w:rPr>
        <w:t xml:space="preserve">на должности артиста по совместительству на 0,5 ставки без соответствующего образования, опыта и стажа работы числилась  штатный экономист, за что начислена заработная плата: в 2019 году в сумме 197,9 </w:t>
      </w:r>
      <w:proofErr w:type="spellStart"/>
      <w:r w:rsidRPr="00B37AFA">
        <w:rPr>
          <w:sz w:val="28"/>
          <w:szCs w:val="28"/>
        </w:rPr>
        <w:t>тыс</w:t>
      </w:r>
      <w:proofErr w:type="gramStart"/>
      <w:r w:rsidRPr="00B37AFA">
        <w:rPr>
          <w:sz w:val="28"/>
          <w:szCs w:val="28"/>
        </w:rPr>
        <w:t>.р</w:t>
      </w:r>
      <w:proofErr w:type="gramEnd"/>
      <w:r w:rsidRPr="00B37AFA">
        <w:rPr>
          <w:sz w:val="28"/>
          <w:szCs w:val="28"/>
        </w:rPr>
        <w:t>уб</w:t>
      </w:r>
      <w:proofErr w:type="spellEnd"/>
      <w:r w:rsidRPr="00B37AFA">
        <w:rPr>
          <w:sz w:val="28"/>
          <w:szCs w:val="28"/>
        </w:rPr>
        <w:t xml:space="preserve">., в 2020 году – 87,9 </w:t>
      </w:r>
      <w:proofErr w:type="spellStart"/>
      <w:r w:rsidRPr="00B37AFA">
        <w:rPr>
          <w:sz w:val="28"/>
          <w:szCs w:val="28"/>
        </w:rPr>
        <w:t>тыс.руб</w:t>
      </w:r>
      <w:proofErr w:type="spellEnd"/>
      <w:r w:rsidRPr="00B37AFA">
        <w:rPr>
          <w:sz w:val="28"/>
          <w:szCs w:val="28"/>
        </w:rPr>
        <w:t>.;</w:t>
      </w:r>
    </w:p>
    <w:p w:rsidR="00BC74B3" w:rsidRPr="00B37AFA" w:rsidRDefault="00BC74B3" w:rsidP="00EC60A8">
      <w:pPr>
        <w:ind w:firstLine="709"/>
        <w:contextualSpacing/>
        <w:jc w:val="both"/>
        <w:rPr>
          <w:sz w:val="28"/>
          <w:szCs w:val="28"/>
        </w:rPr>
      </w:pPr>
      <w:r w:rsidRPr="00B37AFA">
        <w:rPr>
          <w:sz w:val="28"/>
          <w:szCs w:val="28"/>
        </w:rPr>
        <w:t xml:space="preserve">- на должности специалиста творческого отдела по совместительству на 0,5 ставки, без соответствующего образования, опыта и стажа работы числилась штатный менеджер по персоналу, за что начислена заработная плата: в 2019 году в сумме 451,6 </w:t>
      </w:r>
      <w:proofErr w:type="spellStart"/>
      <w:r w:rsidRPr="00B37AFA">
        <w:rPr>
          <w:sz w:val="28"/>
          <w:szCs w:val="28"/>
        </w:rPr>
        <w:t>тыс</w:t>
      </w:r>
      <w:proofErr w:type="gramStart"/>
      <w:r w:rsidRPr="00B37AFA">
        <w:rPr>
          <w:sz w:val="28"/>
          <w:szCs w:val="28"/>
        </w:rPr>
        <w:t>.р</w:t>
      </w:r>
      <w:proofErr w:type="gramEnd"/>
      <w:r w:rsidRPr="00B37AFA">
        <w:rPr>
          <w:sz w:val="28"/>
          <w:szCs w:val="28"/>
        </w:rPr>
        <w:t>уб</w:t>
      </w:r>
      <w:proofErr w:type="spellEnd"/>
      <w:r w:rsidRPr="00B37AFA">
        <w:rPr>
          <w:sz w:val="28"/>
          <w:szCs w:val="28"/>
        </w:rPr>
        <w:t xml:space="preserve">., в 2020 году – 185,5 </w:t>
      </w:r>
      <w:proofErr w:type="spellStart"/>
      <w:r w:rsidRPr="00B37AFA">
        <w:rPr>
          <w:sz w:val="28"/>
          <w:szCs w:val="28"/>
        </w:rPr>
        <w:t>тыс.руб</w:t>
      </w:r>
      <w:proofErr w:type="spellEnd"/>
      <w:r w:rsidRPr="00B37AFA">
        <w:rPr>
          <w:sz w:val="28"/>
          <w:szCs w:val="28"/>
        </w:rPr>
        <w:t>.;</w:t>
      </w:r>
    </w:p>
    <w:p w:rsidR="00BC74B3" w:rsidRPr="00B37AFA" w:rsidRDefault="00BC74B3" w:rsidP="00EC60A8">
      <w:pPr>
        <w:ind w:firstLine="709"/>
        <w:contextualSpacing/>
        <w:jc w:val="both"/>
        <w:rPr>
          <w:sz w:val="28"/>
          <w:szCs w:val="28"/>
        </w:rPr>
      </w:pPr>
      <w:r w:rsidRPr="00B37AFA">
        <w:rPr>
          <w:sz w:val="28"/>
          <w:szCs w:val="28"/>
        </w:rPr>
        <w:t>- на должности художественного руководителя вокально-инструментального ансамбля «</w:t>
      </w:r>
      <w:proofErr w:type="spellStart"/>
      <w:r w:rsidRPr="00B37AFA">
        <w:rPr>
          <w:sz w:val="28"/>
          <w:szCs w:val="28"/>
        </w:rPr>
        <w:t>Яшьлек</w:t>
      </w:r>
      <w:proofErr w:type="spellEnd"/>
      <w:r w:rsidRPr="00B37AFA">
        <w:rPr>
          <w:sz w:val="28"/>
          <w:szCs w:val="28"/>
        </w:rPr>
        <w:t xml:space="preserve">» в 2019 году и артиста камерного оркестра в 2020 году по совместительству на 0,5 ставки без соответствующего образования, опыта и стажа работы числилась штатный ведущий бухгалтер, за что начислена заработная плата: в 2019 году в сумме 296,9 </w:t>
      </w:r>
      <w:proofErr w:type="spellStart"/>
      <w:r w:rsidRPr="00B37AFA">
        <w:rPr>
          <w:sz w:val="28"/>
          <w:szCs w:val="28"/>
        </w:rPr>
        <w:t>тыс</w:t>
      </w:r>
      <w:proofErr w:type="gramStart"/>
      <w:r w:rsidRPr="00B37AFA">
        <w:rPr>
          <w:sz w:val="28"/>
          <w:szCs w:val="28"/>
        </w:rPr>
        <w:t>.р</w:t>
      </w:r>
      <w:proofErr w:type="gramEnd"/>
      <w:r w:rsidRPr="00B37AFA">
        <w:rPr>
          <w:sz w:val="28"/>
          <w:szCs w:val="28"/>
        </w:rPr>
        <w:t>уб</w:t>
      </w:r>
      <w:proofErr w:type="spellEnd"/>
      <w:r w:rsidRPr="00B37AFA">
        <w:rPr>
          <w:sz w:val="28"/>
          <w:szCs w:val="28"/>
        </w:rPr>
        <w:t xml:space="preserve">., в 2020 году – 147,4 </w:t>
      </w:r>
      <w:proofErr w:type="spellStart"/>
      <w:r w:rsidRPr="00B37AFA">
        <w:rPr>
          <w:sz w:val="28"/>
          <w:szCs w:val="28"/>
        </w:rPr>
        <w:t>тыс.руб</w:t>
      </w:r>
      <w:proofErr w:type="spellEnd"/>
      <w:r w:rsidRPr="00B37AFA">
        <w:rPr>
          <w:sz w:val="28"/>
          <w:szCs w:val="28"/>
        </w:rPr>
        <w:t>.;</w:t>
      </w:r>
    </w:p>
    <w:p w:rsidR="00BC74B3" w:rsidRPr="00FB5265" w:rsidRDefault="00BC74B3" w:rsidP="00EC60A8">
      <w:pPr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C74B3">
        <w:rPr>
          <w:sz w:val="28"/>
          <w:szCs w:val="28"/>
        </w:rPr>
        <w:t>к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деятельности в области культуры, искусства </w:t>
      </w:r>
      <w:r w:rsidRPr="00FB5265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специалист по жанрам творчества, художественного руководителя ВИА, артиста оркестра, артиста ансамбля песни и пляски, артиста эстрадного оркестра, заведующего отделом дома культуры, администратором, заместитель директора по творческой работе</w:t>
      </w:r>
      <w:r w:rsidRPr="00FB5265">
        <w:rPr>
          <w:rFonts w:ascii="Times New Roman CYR" w:hAnsi="Times New Roman CYR" w:cs="Times New Roman CYR"/>
          <w:sz w:val="28"/>
          <w:szCs w:val="28"/>
        </w:rPr>
        <w:t>), допущен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 лиц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FB5265">
        <w:rPr>
          <w:rFonts w:ascii="Times New Roman CYR" w:hAnsi="Times New Roman CYR" w:cs="Times New Roman CYR"/>
          <w:sz w:val="28"/>
          <w:szCs w:val="28"/>
        </w:rPr>
        <w:t>, не соответствующ</w:t>
      </w:r>
      <w:r>
        <w:rPr>
          <w:rFonts w:ascii="Times New Roman CYR" w:hAnsi="Times New Roman CYR" w:cs="Times New Roman CYR"/>
          <w:sz w:val="28"/>
          <w:szCs w:val="28"/>
        </w:rPr>
        <w:t xml:space="preserve">ие квалификационным требованиям, установленным должностными инструкциями, Приказом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Минздравсоцразвития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 30 марта 2011 № 251н</w:t>
      </w:r>
      <w:r w:rsidRPr="00FB5265">
        <w:rPr>
          <w:rFonts w:ascii="Times New Roman CYR" w:hAnsi="Times New Roman CYR" w:cs="Times New Roman CYR"/>
          <w:sz w:val="28"/>
          <w:szCs w:val="28"/>
        </w:rPr>
        <w:t>, расходы на оплату труда котор</w:t>
      </w:r>
      <w:r>
        <w:rPr>
          <w:rFonts w:ascii="Times New Roman CYR" w:hAnsi="Times New Roman CYR" w:cs="Times New Roman CYR"/>
          <w:sz w:val="28"/>
          <w:szCs w:val="28"/>
        </w:rPr>
        <w:t xml:space="preserve">ых 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составили </w:t>
      </w:r>
      <w:r>
        <w:rPr>
          <w:rFonts w:ascii="Times New Roman CYR" w:hAnsi="Times New Roman CYR" w:cs="Times New Roman CYR"/>
          <w:sz w:val="28"/>
          <w:szCs w:val="28"/>
        </w:rPr>
        <w:t>в сумме 6844,6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B5265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FB5265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FB5265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FB526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BC74B3" w:rsidRDefault="00BC74B3" w:rsidP="00EC60A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- </w:t>
      </w:r>
      <w:r w:rsidRPr="00BC74B3"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 должности системного администратора и ведущего бухгалтера по совмещению допущено лицо</w:t>
      </w:r>
      <w:r>
        <w:rPr>
          <w:sz w:val="28"/>
          <w:szCs w:val="28"/>
        </w:rPr>
        <w:t>,</w:t>
      </w:r>
      <w:r w:rsidRPr="00D33EB4">
        <w:rPr>
          <w:sz w:val="28"/>
          <w:szCs w:val="28"/>
        </w:rPr>
        <w:t xml:space="preserve"> не соответствующе</w:t>
      </w:r>
      <w:r>
        <w:rPr>
          <w:sz w:val="28"/>
          <w:szCs w:val="28"/>
        </w:rPr>
        <w:t xml:space="preserve">е квалификационным требованиям, </w:t>
      </w:r>
      <w:r>
        <w:rPr>
          <w:rFonts w:ascii="Times New Roman CYR" w:hAnsi="Times New Roman CYR" w:cs="Times New Roman CYR"/>
          <w:sz w:val="28"/>
          <w:szCs w:val="28"/>
        </w:rPr>
        <w:t xml:space="preserve">установленным должностными инструкциями, Приказом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Минздравсоцразвития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 30 марта 2011 № 251н, 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расходы на оплату труда которого составили </w:t>
      </w:r>
      <w:r>
        <w:rPr>
          <w:rFonts w:ascii="Times New Roman CYR" w:hAnsi="Times New Roman CYR" w:cs="Times New Roman CYR"/>
          <w:sz w:val="28"/>
          <w:szCs w:val="28"/>
        </w:rPr>
        <w:t>759,4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B5265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FB5265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FB5265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FB526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BC74B3" w:rsidRDefault="00BC74B3" w:rsidP="00EC60A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- </w:t>
      </w:r>
      <w:r w:rsidRPr="00BC74B3"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 должность юрисконсульта по совместительству на 0,5 ставки допущено лицо</w:t>
      </w:r>
      <w:r>
        <w:rPr>
          <w:sz w:val="28"/>
          <w:szCs w:val="28"/>
        </w:rPr>
        <w:t>,</w:t>
      </w:r>
      <w:r w:rsidRPr="00D33EB4">
        <w:rPr>
          <w:sz w:val="28"/>
          <w:szCs w:val="28"/>
        </w:rPr>
        <w:t xml:space="preserve"> не соответствующе</w:t>
      </w:r>
      <w:r>
        <w:rPr>
          <w:sz w:val="28"/>
          <w:szCs w:val="28"/>
        </w:rPr>
        <w:t xml:space="preserve">е квалификационным требованиям, </w:t>
      </w:r>
      <w:r>
        <w:rPr>
          <w:rFonts w:ascii="Times New Roman CYR" w:hAnsi="Times New Roman CYR" w:cs="Times New Roman CYR"/>
          <w:sz w:val="28"/>
          <w:szCs w:val="28"/>
        </w:rPr>
        <w:t xml:space="preserve">установленным должностными инструкциями, Приказом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Минздравсоцразвития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 30 марта 2011 № 251н, 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расходы на оплату труда которого составили </w:t>
      </w:r>
      <w:r>
        <w:rPr>
          <w:rFonts w:ascii="Times New Roman CYR" w:hAnsi="Times New Roman CYR" w:cs="Times New Roman CYR"/>
          <w:sz w:val="28"/>
          <w:szCs w:val="28"/>
        </w:rPr>
        <w:t>126,5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B5265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FB5265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FB5265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FB526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и 18,0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.;</w:t>
      </w:r>
    </w:p>
    <w:p w:rsidR="00BC74B3" w:rsidRDefault="00BC74B3" w:rsidP="00EC60A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- </w:t>
      </w:r>
      <w:r w:rsidRPr="00BC74B3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 xml:space="preserve">ремирование руководителя Учреждения в 2019 году в сумме 340,0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., в 2020 году в сумме 15,0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произведено без согласования с Учредителем;</w:t>
      </w:r>
    </w:p>
    <w:p w:rsidR="00BC74B3" w:rsidRDefault="00BC74B3" w:rsidP="00EC60A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- </w:t>
      </w:r>
      <w:r w:rsidRPr="00BC74B3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роверкой выявлены факты наложения времени исполнения трудовых обязанностей по основному месту работы и работы сотрудников на условиях внешнего совместительства.</w:t>
      </w:r>
    </w:p>
    <w:p w:rsidR="00EC60A8" w:rsidRDefault="00BC74B3" w:rsidP="00EC60A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5CC5">
        <w:rPr>
          <w:b/>
          <w:sz w:val="28"/>
          <w:szCs w:val="28"/>
        </w:rPr>
        <w:t>Нарушения порядка распоряжения муниципальным имуществом, в том числе:</w:t>
      </w:r>
    </w:p>
    <w:p w:rsidR="00EC60A8" w:rsidRDefault="00EC60A8" w:rsidP="00EC60A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C60A8">
        <w:rPr>
          <w:sz w:val="28"/>
          <w:szCs w:val="28"/>
        </w:rPr>
        <w:t>п</w:t>
      </w:r>
      <w:r w:rsidR="00BC74B3" w:rsidRPr="00EC60A8">
        <w:rPr>
          <w:sz w:val="28"/>
          <w:szCs w:val="28"/>
        </w:rPr>
        <w:t xml:space="preserve">о состоянию на 01.01.2021г. в Реестре муниципального имущества отсутствует имущество (1 объект) балансовой стоимостью 13,3 </w:t>
      </w:r>
      <w:proofErr w:type="spellStart"/>
      <w:r w:rsidR="00BC74B3" w:rsidRPr="00EC60A8">
        <w:rPr>
          <w:sz w:val="28"/>
          <w:szCs w:val="28"/>
        </w:rPr>
        <w:t>тыс</w:t>
      </w:r>
      <w:proofErr w:type="gramStart"/>
      <w:r w:rsidR="00BC74B3" w:rsidRPr="00EC60A8">
        <w:rPr>
          <w:sz w:val="28"/>
          <w:szCs w:val="28"/>
        </w:rPr>
        <w:t>.р</w:t>
      </w:r>
      <w:proofErr w:type="gramEnd"/>
      <w:r w:rsidR="00BC74B3" w:rsidRPr="00EC60A8">
        <w:rPr>
          <w:sz w:val="28"/>
          <w:szCs w:val="28"/>
        </w:rPr>
        <w:t>уб</w:t>
      </w:r>
      <w:proofErr w:type="spellEnd"/>
      <w:r w:rsidR="00BC74B3" w:rsidRPr="00EC60A8">
        <w:rPr>
          <w:sz w:val="28"/>
          <w:szCs w:val="28"/>
        </w:rPr>
        <w:t xml:space="preserve">., остаточной стоимостью 0 </w:t>
      </w:r>
      <w:proofErr w:type="spellStart"/>
      <w:r w:rsidR="00BC74B3" w:rsidRPr="00EC60A8">
        <w:rPr>
          <w:sz w:val="28"/>
          <w:szCs w:val="28"/>
        </w:rPr>
        <w:t>тыс.руб</w:t>
      </w:r>
      <w:proofErr w:type="spellEnd"/>
      <w:r w:rsidR="00BC74B3" w:rsidRPr="00EC60A8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EC60A8" w:rsidRDefault="00EC60A8" w:rsidP="00EC60A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з</w:t>
      </w:r>
      <w:r w:rsidR="00BC74B3" w:rsidRPr="00EC60A8">
        <w:rPr>
          <w:color w:val="000000"/>
          <w:sz w:val="28"/>
          <w:szCs w:val="28"/>
        </w:rPr>
        <w:t>а период с 2019 года по настоящее время сверка данных Реестра муниципального имущества с данными бухгалт</w:t>
      </w:r>
      <w:r>
        <w:rPr>
          <w:color w:val="000000"/>
          <w:sz w:val="28"/>
          <w:szCs w:val="28"/>
        </w:rPr>
        <w:t>ерского учета не осуществлялась;</w:t>
      </w:r>
    </w:p>
    <w:p w:rsidR="00BC74B3" w:rsidRPr="00EC60A8" w:rsidRDefault="00EC60A8" w:rsidP="00EC60A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</w:t>
      </w:r>
      <w:r w:rsidRPr="00EC60A8">
        <w:rPr>
          <w:sz w:val="28"/>
          <w:szCs w:val="28"/>
        </w:rPr>
        <w:t>н</w:t>
      </w:r>
      <w:r w:rsidR="00BC74B3" w:rsidRPr="00EC60A8">
        <w:rPr>
          <w:color w:val="000000"/>
          <w:sz w:val="28"/>
          <w:szCs w:val="28"/>
        </w:rPr>
        <w:t xml:space="preserve">е зарегистрировано право оперативного управления недвижимым имуществом  (здание (нежилое помещение) общей площадью 99,4 </w:t>
      </w:r>
      <w:proofErr w:type="spellStart"/>
      <w:r w:rsidR="00BC74B3" w:rsidRPr="00EC60A8">
        <w:rPr>
          <w:color w:val="000000"/>
          <w:sz w:val="28"/>
          <w:szCs w:val="28"/>
        </w:rPr>
        <w:t>кв.м</w:t>
      </w:r>
      <w:proofErr w:type="spellEnd"/>
      <w:r w:rsidR="00BC74B3" w:rsidRPr="00EC60A8">
        <w:rPr>
          <w:color w:val="000000"/>
          <w:sz w:val="28"/>
          <w:szCs w:val="28"/>
        </w:rPr>
        <w:t xml:space="preserve">., </w:t>
      </w:r>
      <w:r w:rsidR="00BC74B3" w:rsidRPr="00EC60A8">
        <w:rPr>
          <w:sz w:val="28"/>
          <w:szCs w:val="28"/>
        </w:rPr>
        <w:t>1981 года ввода, кадастровый номер 16:45:010117:137.</w:t>
      </w:r>
      <w:proofErr w:type="gramEnd"/>
    </w:p>
    <w:p w:rsidR="00BC74B3" w:rsidRDefault="00EC60A8" w:rsidP="00EC60A8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</w:t>
      </w:r>
      <w:r w:rsidR="00BC74B3" w:rsidRPr="00065CC5">
        <w:rPr>
          <w:b/>
          <w:color w:val="auto"/>
          <w:sz w:val="28"/>
          <w:szCs w:val="28"/>
        </w:rPr>
        <w:t>Нарушения ведения бухгалтерского учета, составления и представления бухгалтерской (финансовой) отчетности, в том числе:</w:t>
      </w:r>
    </w:p>
    <w:p w:rsidR="00BC74B3" w:rsidRPr="00EC60A8" w:rsidRDefault="00EC60A8" w:rsidP="00EC60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</w:t>
      </w:r>
      <w:r w:rsidR="00BC74B3" w:rsidRPr="00EC60A8">
        <w:rPr>
          <w:sz w:val="28"/>
          <w:szCs w:val="28"/>
        </w:rPr>
        <w:t xml:space="preserve">о состоянию на 01.01.2021 г. на балансовом счете  01 «Основные средства» не отражено имущество (Синтезатор </w:t>
      </w:r>
      <w:proofErr w:type="spellStart"/>
      <w:r w:rsidR="00BC74B3" w:rsidRPr="00EC60A8">
        <w:rPr>
          <w:sz w:val="28"/>
          <w:szCs w:val="28"/>
        </w:rPr>
        <w:t>Yamaha</w:t>
      </w:r>
      <w:proofErr w:type="spellEnd"/>
      <w:r w:rsidR="00BC74B3" w:rsidRPr="00EC60A8">
        <w:rPr>
          <w:sz w:val="28"/>
          <w:szCs w:val="28"/>
        </w:rPr>
        <w:t xml:space="preserve"> P-45 (В-черный)) балансовой стоимостью 38,0 </w:t>
      </w:r>
      <w:proofErr w:type="spellStart"/>
      <w:r w:rsidR="00BC74B3" w:rsidRPr="00EC60A8">
        <w:rPr>
          <w:sz w:val="28"/>
          <w:szCs w:val="28"/>
        </w:rPr>
        <w:t>тыс</w:t>
      </w:r>
      <w:proofErr w:type="gramStart"/>
      <w:r w:rsidR="00BC74B3" w:rsidRPr="00EC60A8">
        <w:rPr>
          <w:sz w:val="28"/>
          <w:szCs w:val="28"/>
        </w:rPr>
        <w:t>.р</w:t>
      </w:r>
      <w:proofErr w:type="gramEnd"/>
      <w:r w:rsidR="00BC74B3" w:rsidRPr="00EC60A8">
        <w:rPr>
          <w:sz w:val="28"/>
          <w:szCs w:val="28"/>
        </w:rPr>
        <w:t>уб</w:t>
      </w:r>
      <w:proofErr w:type="spellEnd"/>
      <w:r w:rsidR="00BC74B3" w:rsidRPr="00EC60A8">
        <w:rPr>
          <w:sz w:val="28"/>
          <w:szCs w:val="28"/>
        </w:rPr>
        <w:t>.</w:t>
      </w:r>
    </w:p>
    <w:p w:rsidR="00BC74B3" w:rsidRDefault="00BC74B3" w:rsidP="001537AC">
      <w:pPr>
        <w:pStyle w:val="a6"/>
        <w:ind w:left="0" w:right="-1" w:firstLine="709"/>
        <w:jc w:val="both"/>
        <w:rPr>
          <w:b/>
          <w:sz w:val="28"/>
          <w:szCs w:val="28"/>
        </w:rPr>
      </w:pPr>
    </w:p>
    <w:p w:rsidR="0065129A" w:rsidRDefault="0065129A" w:rsidP="00970B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970B42">
        <w:rPr>
          <w:sz w:val="28"/>
          <w:szCs w:val="28"/>
        </w:rPr>
        <w:t xml:space="preserve">директору </w:t>
      </w:r>
      <w:r w:rsidR="00EC60A8">
        <w:rPr>
          <w:sz w:val="28"/>
          <w:szCs w:val="28"/>
        </w:rPr>
        <w:t xml:space="preserve">МБУ «НКЦ </w:t>
      </w:r>
      <w:r w:rsidR="00970B42">
        <w:rPr>
          <w:sz w:val="28"/>
          <w:szCs w:val="28"/>
        </w:rPr>
        <w:t xml:space="preserve"> </w:t>
      </w:r>
      <w:r w:rsidR="00EC60A8">
        <w:rPr>
          <w:sz w:val="28"/>
          <w:szCs w:val="28"/>
        </w:rPr>
        <w:t>«</w:t>
      </w:r>
      <w:proofErr w:type="spellStart"/>
      <w:r w:rsidR="00EC60A8">
        <w:rPr>
          <w:sz w:val="28"/>
          <w:szCs w:val="28"/>
        </w:rPr>
        <w:t>Элмэт</w:t>
      </w:r>
      <w:proofErr w:type="spellEnd"/>
      <w:r w:rsidR="00EC60A8">
        <w:rPr>
          <w:sz w:val="28"/>
          <w:szCs w:val="28"/>
        </w:rPr>
        <w:t xml:space="preserve">»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EC60A8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577150">
        <w:rPr>
          <w:sz w:val="28"/>
          <w:szCs w:val="28"/>
        </w:rPr>
        <w:t>2</w:t>
      </w:r>
      <w:r w:rsidR="00EC60A8">
        <w:rPr>
          <w:sz w:val="28"/>
          <w:szCs w:val="28"/>
        </w:rPr>
        <w:t>8</w:t>
      </w:r>
      <w:r w:rsidR="00970B42">
        <w:rPr>
          <w:sz w:val="28"/>
          <w:szCs w:val="28"/>
        </w:rPr>
        <w:t>.0</w:t>
      </w:r>
      <w:r w:rsidR="00EC60A8">
        <w:rPr>
          <w:sz w:val="28"/>
          <w:szCs w:val="28"/>
        </w:rPr>
        <w:t>5</w:t>
      </w:r>
      <w:r w:rsidR="00DF6535">
        <w:rPr>
          <w:sz w:val="28"/>
          <w:szCs w:val="28"/>
        </w:rPr>
        <w:t>.202</w:t>
      </w:r>
      <w:r w:rsidR="00577150">
        <w:rPr>
          <w:sz w:val="28"/>
          <w:szCs w:val="28"/>
        </w:rPr>
        <w:t>1</w:t>
      </w:r>
      <w:r w:rsidR="00DF6535">
        <w:rPr>
          <w:sz w:val="28"/>
          <w:szCs w:val="28"/>
        </w:rPr>
        <w:t>г.</w:t>
      </w:r>
    </w:p>
    <w:p w:rsidR="00167DC2" w:rsidRPr="007A63DB" w:rsidRDefault="00167DC2" w:rsidP="00EC60A8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контрольного мероприятия Контрольно-счетной палатой по фактам административного правонарушения на должностн</w:t>
      </w:r>
      <w:r w:rsidR="00EC60A8">
        <w:rPr>
          <w:sz w:val="28"/>
          <w:szCs w:val="28"/>
        </w:rPr>
        <w:t>ое</w:t>
      </w:r>
      <w:r>
        <w:rPr>
          <w:sz w:val="28"/>
          <w:szCs w:val="28"/>
        </w:rPr>
        <w:t xml:space="preserve"> лиц</w:t>
      </w:r>
      <w:r w:rsidR="00EC60A8">
        <w:rPr>
          <w:sz w:val="28"/>
          <w:szCs w:val="28"/>
        </w:rPr>
        <w:t>о</w:t>
      </w:r>
      <w:r>
        <w:rPr>
          <w:sz w:val="28"/>
          <w:szCs w:val="28"/>
        </w:rPr>
        <w:t xml:space="preserve"> Учреждения составлен</w:t>
      </w:r>
      <w:r w:rsidR="006448CB">
        <w:rPr>
          <w:sz w:val="28"/>
          <w:szCs w:val="28"/>
        </w:rPr>
        <w:t xml:space="preserve"> протокол</w:t>
      </w:r>
      <w:r w:rsidR="009676F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76FA">
        <w:rPr>
          <w:sz w:val="28"/>
          <w:szCs w:val="28"/>
        </w:rPr>
        <w:t xml:space="preserve">и направлен мировому судье </w:t>
      </w:r>
      <w:r>
        <w:rPr>
          <w:sz w:val="28"/>
          <w:szCs w:val="28"/>
        </w:rPr>
        <w:t>Протоколы №№</w:t>
      </w:r>
      <w:r w:rsidR="00EC60A8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от </w:t>
      </w:r>
      <w:r w:rsidR="00EC60A8">
        <w:rPr>
          <w:sz w:val="28"/>
          <w:szCs w:val="28"/>
        </w:rPr>
        <w:t>24 мая</w:t>
      </w:r>
      <w:r>
        <w:rPr>
          <w:sz w:val="28"/>
          <w:szCs w:val="28"/>
        </w:rPr>
        <w:t xml:space="preserve"> 2021г., </w:t>
      </w:r>
      <w:r w:rsidR="00EC60A8">
        <w:rPr>
          <w:sz w:val="28"/>
          <w:szCs w:val="28"/>
        </w:rPr>
        <w:t>п</w:t>
      </w:r>
      <w:r>
        <w:rPr>
          <w:sz w:val="28"/>
          <w:szCs w:val="28"/>
        </w:rPr>
        <w:t>о факт</w:t>
      </w:r>
      <w:r w:rsidR="00EC60A8">
        <w:rPr>
          <w:sz w:val="28"/>
          <w:szCs w:val="28"/>
        </w:rPr>
        <w:t>у</w:t>
      </w:r>
      <w:r>
        <w:rPr>
          <w:sz w:val="28"/>
          <w:szCs w:val="28"/>
        </w:rPr>
        <w:t xml:space="preserve"> нецелевого использования средств местного бюджета</w:t>
      </w:r>
      <w:r w:rsidR="00EC60A8">
        <w:rPr>
          <w:sz w:val="28"/>
          <w:szCs w:val="28"/>
        </w:rPr>
        <w:t>.</w:t>
      </w:r>
    </w:p>
    <w:p w:rsidR="00F91AF0" w:rsidRDefault="00B37AFA" w:rsidP="00577150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контрольного мероприятия направлены в </w:t>
      </w:r>
      <w:proofErr w:type="spellStart"/>
      <w:r>
        <w:rPr>
          <w:sz w:val="28"/>
          <w:szCs w:val="28"/>
        </w:rPr>
        <w:t>Альметьевскую</w:t>
      </w:r>
      <w:proofErr w:type="spellEnd"/>
      <w:r>
        <w:rPr>
          <w:sz w:val="28"/>
          <w:szCs w:val="28"/>
        </w:rPr>
        <w:t xml:space="preserve"> городскую прокуратуру.</w:t>
      </w:r>
    </w:p>
    <w:p w:rsidR="00B37AFA" w:rsidRDefault="00B37AFA" w:rsidP="00577150">
      <w:pPr>
        <w:ind w:right="-143" w:firstLine="709"/>
        <w:jc w:val="both"/>
        <w:rPr>
          <w:sz w:val="28"/>
          <w:szCs w:val="28"/>
        </w:rPr>
      </w:pPr>
    </w:p>
    <w:p w:rsidR="00167DC2" w:rsidRDefault="00167DC2" w:rsidP="00ED3E64">
      <w:pPr>
        <w:ind w:right="-143" w:firstLine="360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F9" w:rsidRDefault="003D47F9">
      <w:r>
        <w:separator/>
      </w:r>
    </w:p>
  </w:endnote>
  <w:endnote w:type="continuationSeparator" w:id="0">
    <w:p w:rsidR="003D47F9" w:rsidRDefault="003D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B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F9" w:rsidRDefault="003D47F9">
      <w:r>
        <w:separator/>
      </w:r>
    </w:p>
  </w:footnote>
  <w:footnote w:type="continuationSeparator" w:id="0">
    <w:p w:rsidR="003D47F9" w:rsidRDefault="003D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3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E84AEE"/>
    <w:multiLevelType w:val="multilevel"/>
    <w:tmpl w:val="8BBAF8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1"/>
  </w:num>
  <w:num w:numId="5">
    <w:abstractNumId w:val="3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4"/>
  </w:num>
  <w:num w:numId="11">
    <w:abstractNumId w:val="19"/>
  </w:num>
  <w:num w:numId="12">
    <w:abstractNumId w:val="16"/>
  </w:num>
  <w:num w:numId="13">
    <w:abstractNumId w:val="18"/>
  </w:num>
  <w:num w:numId="14">
    <w:abstractNumId w:val="2"/>
  </w:num>
  <w:num w:numId="15">
    <w:abstractNumId w:val="0"/>
  </w:num>
  <w:num w:numId="16">
    <w:abstractNumId w:val="8"/>
  </w:num>
  <w:num w:numId="17">
    <w:abstractNumId w:val="7"/>
  </w:num>
  <w:num w:numId="18">
    <w:abstractNumId w:val="20"/>
  </w:num>
  <w:num w:numId="19">
    <w:abstractNumId w:val="13"/>
  </w:num>
  <w:num w:numId="20">
    <w:abstractNumId w:val="22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304D5"/>
    <w:rsid w:val="00037BD9"/>
    <w:rsid w:val="00047F39"/>
    <w:rsid w:val="00053C3A"/>
    <w:rsid w:val="0006102C"/>
    <w:rsid w:val="0008225F"/>
    <w:rsid w:val="000A7452"/>
    <w:rsid w:val="000A77DD"/>
    <w:rsid w:val="000C2BC6"/>
    <w:rsid w:val="00104206"/>
    <w:rsid w:val="00104565"/>
    <w:rsid w:val="001116AD"/>
    <w:rsid w:val="00145187"/>
    <w:rsid w:val="00153616"/>
    <w:rsid w:val="001537AC"/>
    <w:rsid w:val="001539CC"/>
    <w:rsid w:val="00167DC2"/>
    <w:rsid w:val="00180FA8"/>
    <w:rsid w:val="001A7353"/>
    <w:rsid w:val="001B2A66"/>
    <w:rsid w:val="001C6269"/>
    <w:rsid w:val="001F59FC"/>
    <w:rsid w:val="00207778"/>
    <w:rsid w:val="00213983"/>
    <w:rsid w:val="0023325A"/>
    <w:rsid w:val="00236F8B"/>
    <w:rsid w:val="00244E8C"/>
    <w:rsid w:val="00295CF0"/>
    <w:rsid w:val="002A6D4C"/>
    <w:rsid w:val="002D0210"/>
    <w:rsid w:val="002D447A"/>
    <w:rsid w:val="002D7FDB"/>
    <w:rsid w:val="00302DE0"/>
    <w:rsid w:val="003543E8"/>
    <w:rsid w:val="0036422B"/>
    <w:rsid w:val="00366227"/>
    <w:rsid w:val="00390B00"/>
    <w:rsid w:val="003B733E"/>
    <w:rsid w:val="003C121F"/>
    <w:rsid w:val="003C6C9D"/>
    <w:rsid w:val="003D0C68"/>
    <w:rsid w:val="003D2FCC"/>
    <w:rsid w:val="003D47F9"/>
    <w:rsid w:val="003D76F7"/>
    <w:rsid w:val="003E295A"/>
    <w:rsid w:val="003E57E9"/>
    <w:rsid w:val="003F76DA"/>
    <w:rsid w:val="00406EF1"/>
    <w:rsid w:val="00407FDA"/>
    <w:rsid w:val="00440B73"/>
    <w:rsid w:val="00444C1D"/>
    <w:rsid w:val="00453B74"/>
    <w:rsid w:val="0048429E"/>
    <w:rsid w:val="004C1F58"/>
    <w:rsid w:val="004E4F2E"/>
    <w:rsid w:val="00512941"/>
    <w:rsid w:val="0052003A"/>
    <w:rsid w:val="00525DEC"/>
    <w:rsid w:val="0054527F"/>
    <w:rsid w:val="005711AE"/>
    <w:rsid w:val="00577150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448CB"/>
    <w:rsid w:val="0065129A"/>
    <w:rsid w:val="006529A1"/>
    <w:rsid w:val="0066000B"/>
    <w:rsid w:val="006737EA"/>
    <w:rsid w:val="00674FD1"/>
    <w:rsid w:val="00685433"/>
    <w:rsid w:val="00695FF5"/>
    <w:rsid w:val="006B7D92"/>
    <w:rsid w:val="006D0BD5"/>
    <w:rsid w:val="006D21FD"/>
    <w:rsid w:val="006F761B"/>
    <w:rsid w:val="007101CB"/>
    <w:rsid w:val="007376E6"/>
    <w:rsid w:val="0074080D"/>
    <w:rsid w:val="007478D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44B0D"/>
    <w:rsid w:val="008501EC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C3C66"/>
    <w:rsid w:val="008F3164"/>
    <w:rsid w:val="009326DA"/>
    <w:rsid w:val="009676FA"/>
    <w:rsid w:val="00970B42"/>
    <w:rsid w:val="009A42DE"/>
    <w:rsid w:val="009E35EA"/>
    <w:rsid w:val="009F3F69"/>
    <w:rsid w:val="009F4458"/>
    <w:rsid w:val="009F5B44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7D6E"/>
    <w:rsid w:val="00AB0DB8"/>
    <w:rsid w:val="00AB59B2"/>
    <w:rsid w:val="00AB66B7"/>
    <w:rsid w:val="00AD1A3F"/>
    <w:rsid w:val="00AE6E3D"/>
    <w:rsid w:val="00B23125"/>
    <w:rsid w:val="00B3434A"/>
    <w:rsid w:val="00B348B3"/>
    <w:rsid w:val="00B34DCA"/>
    <w:rsid w:val="00B36397"/>
    <w:rsid w:val="00B37AFA"/>
    <w:rsid w:val="00B54BF5"/>
    <w:rsid w:val="00B60F7E"/>
    <w:rsid w:val="00B93F40"/>
    <w:rsid w:val="00B97E79"/>
    <w:rsid w:val="00BA5847"/>
    <w:rsid w:val="00BC68DD"/>
    <w:rsid w:val="00BC74B3"/>
    <w:rsid w:val="00BE4763"/>
    <w:rsid w:val="00BF5754"/>
    <w:rsid w:val="00C05C18"/>
    <w:rsid w:val="00C3133E"/>
    <w:rsid w:val="00C3404C"/>
    <w:rsid w:val="00C3602A"/>
    <w:rsid w:val="00C57BB7"/>
    <w:rsid w:val="00C601CF"/>
    <w:rsid w:val="00C660FC"/>
    <w:rsid w:val="00C73E8A"/>
    <w:rsid w:val="00C765B9"/>
    <w:rsid w:val="00C76C70"/>
    <w:rsid w:val="00CA0DFE"/>
    <w:rsid w:val="00CB2B8A"/>
    <w:rsid w:val="00CC0028"/>
    <w:rsid w:val="00CC23FF"/>
    <w:rsid w:val="00CD4397"/>
    <w:rsid w:val="00CF392D"/>
    <w:rsid w:val="00D31057"/>
    <w:rsid w:val="00D51863"/>
    <w:rsid w:val="00D51A47"/>
    <w:rsid w:val="00D653C7"/>
    <w:rsid w:val="00D6793A"/>
    <w:rsid w:val="00D67FA6"/>
    <w:rsid w:val="00D73CEC"/>
    <w:rsid w:val="00D91272"/>
    <w:rsid w:val="00DB16EF"/>
    <w:rsid w:val="00DC3EFD"/>
    <w:rsid w:val="00DC601B"/>
    <w:rsid w:val="00DD41B8"/>
    <w:rsid w:val="00DE2CD5"/>
    <w:rsid w:val="00DF6535"/>
    <w:rsid w:val="00DF7CD8"/>
    <w:rsid w:val="00E13A44"/>
    <w:rsid w:val="00E60D6B"/>
    <w:rsid w:val="00EB0084"/>
    <w:rsid w:val="00EB0D85"/>
    <w:rsid w:val="00EB4CB8"/>
    <w:rsid w:val="00EB6EA2"/>
    <w:rsid w:val="00EC60A8"/>
    <w:rsid w:val="00ED2ED0"/>
    <w:rsid w:val="00ED3E64"/>
    <w:rsid w:val="00EE02D2"/>
    <w:rsid w:val="00EE584E"/>
    <w:rsid w:val="00F05C1C"/>
    <w:rsid w:val="00F1320D"/>
    <w:rsid w:val="00F267E4"/>
    <w:rsid w:val="00F32933"/>
    <w:rsid w:val="00F366FE"/>
    <w:rsid w:val="00F42EB5"/>
    <w:rsid w:val="00F66CFD"/>
    <w:rsid w:val="00F8110C"/>
    <w:rsid w:val="00F91AF0"/>
    <w:rsid w:val="00FA4D79"/>
    <w:rsid w:val="00FD3CC1"/>
    <w:rsid w:val="00FE0D29"/>
    <w:rsid w:val="00FE4F82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C6C9D"/>
    <w:pPr>
      <w:ind w:left="720"/>
      <w:contextualSpacing/>
    </w:pPr>
  </w:style>
  <w:style w:type="character" w:styleId="a7">
    <w:name w:val="Emphasis"/>
    <w:basedOn w:val="a0"/>
    <w:uiPriority w:val="20"/>
    <w:qFormat/>
    <w:rsid w:val="00EB6EA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F42EB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d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51863"/>
    <w:rPr>
      <w:b/>
      <w:bCs/>
    </w:rPr>
  </w:style>
  <w:style w:type="paragraph" w:styleId="af">
    <w:name w:val="Body Text Indent"/>
    <w:basedOn w:val="a"/>
    <w:link w:val="af0"/>
    <w:rsid w:val="00970B42"/>
    <w:pPr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uiPriority w:val="99"/>
    <w:unhideWhenUsed/>
    <w:rsid w:val="00970B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4</cp:revision>
  <cp:lastPrinted>2021-06-28T12:42:00Z</cp:lastPrinted>
  <dcterms:created xsi:type="dcterms:W3CDTF">2021-10-11T08:15:00Z</dcterms:created>
  <dcterms:modified xsi:type="dcterms:W3CDTF">2021-10-11T08:20:00Z</dcterms:modified>
</cp:coreProperties>
</file>